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7njf16oqh77t" w:id="0"/>
      <w:bookmarkEnd w:id="0"/>
      <w:r w:rsidDel="00000000" w:rsidR="00000000" w:rsidRPr="00000000">
        <w:rPr>
          <w:b w:val="1"/>
          <w:rtl w:val="0"/>
        </w:rPr>
        <w:t xml:space="preserve">Introduction to Type II Diabetes Post-Test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Approximately how many million people have diabetes in the United States?</w:t>
        <w:br w:type="textWrapping"/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one risk factor for Type II Diabetes:</w:t>
        <w:br w:type="textWrapping"/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name of the disease caused by changes in the retina?</w:t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Hardening and narrowing of the arteries can lead to coronary artery disease and ______________.</w:t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Adults with diabetes are ____________ to __________ times more likely than people without diabetes to die of heart disease.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Chronic kidney disease is a change in the kidney that reduces kidney function and leads to _________________________.</w:t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 damage in the feet, along with poor blood flow due to vascular changes, increases the risk of foot complications.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